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ANNEX 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LIST OF SUB-PROCESSORS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865"/>
        <w:gridCol w:w="6675"/>
        <w:tblGridChange w:id="0">
          <w:tblGrid>
            <w:gridCol w:w="2865"/>
            <w:gridCol w:w="667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0d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Sub-processor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0d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Reason for Sub-processing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Amazon Web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Securely host our infrastructure, ensuring reliable data storage, processing, and availability.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Microsoft Azure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Third Party Generative AI Service - access and utilize hosted AI models.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Google Cloud 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Third Party Generative AI Service - access and utilize hosted AI models.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Secure team communication and collaboration, which may involve processing limited customer data for support and operational purposes.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Google Workspace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Secure email, document management, and collaboration, which may involve processing customer data for communication and operational purposes.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PagerDuty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Manage and respond to critical incidents, ensuring timely issue resolution, which may involve processing Customer Data to maintain service reliability.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SerpApi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Retrieve real-time search engine results for Customer Data analysis, enhancing the accuracy and relevance of our services.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IPInfo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Obtain geolocation and IP address based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DNSlytics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Gather domain and IP address intelligence for security analysis.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Identify and analyze VPNs, proxies, Tor nodes, and other anonymizing infrastructure.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Elastic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Aggregate, search and analyze logs, which often contain Customer Data, error reports and system events.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Reversing Labs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File metadata and hash values are shared to perform threat intelligence and malware analysis for detecting and preventing malicious activities.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Stytch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Identity and authentication management service.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Posthog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 and usage analytics services.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Scrapfly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 scraping and screenshot capture of webpages for the analysis of phishing emails and associated links.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VMRay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Providing an advanced malware sandbox and phishing threat analysis. This includes automated malware triage and analysis of samples.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Parallel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14122b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Providing web intelligence and search infrastructure specifically engineered for AI agents. This capability allows our AI-driven security systems to perform high-accuracy, real-time web research.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Anthropic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14122b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Third Party Generative AI Service, used for access and use of hosted AI models.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14122b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URLScan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14122b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Used for scanning URLs for malicious content. This enhances our ability to analyze and neutralize web-based threats found within emails and other data streams.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14122b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Have I Been Pwned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14122b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Used to assess if credentials for users being investigated have been compromised. This helps quickly identify user accounts at risk following a security incident or investigation.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14122b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Datadog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14122b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Used to aggregate, search and analyze logs, which often contain Customer Data, error reports and system events.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14122b"/>
                <w:sz w:val="24"/>
                <w:szCs w:val="24"/>
                <w:u w:val="none"/>
                <w:shd w:fill="f9f9f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4122b"/>
                <w:shd w:fill="f9f9f9" w:val="clear"/>
                <w:rtl w:val="0"/>
              </w:rPr>
              <w:t xml:space="preserve">Pylon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14122b"/>
                <w:sz w:val="24"/>
                <w:szCs w:val="24"/>
                <w:u w:val="none"/>
                <w:shd w:fill="f9f9f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4122b"/>
                <w:shd w:fill="f9f9f9" w:val="clear"/>
                <w:rtl w:val="0"/>
              </w:rPr>
              <w:t xml:space="preserve">Used to create, process and manage support tickets, which often contain Customer Data, error reports and system events.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4122b"/>
                <w:shd w:fill="f9f9f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4122b"/>
                <w:shd w:fill="f9f9f9" w:val="clear"/>
                <w:rtl w:val="0"/>
              </w:rPr>
              <w:t xml:space="preserve">Snowflake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4122b"/>
                <w:shd w:fill="f9f9f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4122b"/>
                <w:shd w:fill="f9f9f9" w:val="clear"/>
                <w:rtl w:val="0"/>
              </w:rPr>
              <w:t xml:space="preserve">Used for ad hoc analytics and generating internal operational reports, which often contain customer data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781925" cy="10067925"/>
              <wp:effectExtent b="0" l="0" r="0" t="0"/>
              <wp:wrapNone/>
              <wp:docPr descr="Rectangle" id="10737418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0"/>
                        <a:ext cx="7772400" cy="7560000"/>
                      </a:xfrm>
                      <a:prstGeom prst="roundRect">
                        <a:avLst>
                          <a:gd fmla="val 0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781925" cy="10067925"/>
              <wp:effectExtent b="0" l="0" r="0" t="0"/>
              <wp:wrapNone/>
              <wp:docPr descr="Rectangle" id="1073741826" name="image1.png"/>
              <a:graphic>
                <a:graphicData uri="http://schemas.openxmlformats.org/drawingml/2006/picture">
                  <pic:pic>
                    <pic:nvPicPr>
                      <pic:cNvPr descr="Rectangl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1006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de-D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z36UA/kd//bYY5dwgc5j29n9A==">CgMxLjA4AHIhMUZHd2MxRkFpeHdIT1hCc0U4dzNQaVZhTUZsU2dINVc0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